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089" w:rsidRPr="005D7006" w:rsidRDefault="00A46089" w:rsidP="005D7006">
      <w:pPr>
        <w:spacing w:after="80" w:line="360" w:lineRule="auto"/>
        <w:jc w:val="center"/>
        <w:rPr>
          <w:rFonts w:ascii="Bookman Old Style" w:hAnsi="Bookman Old Style"/>
          <w:b/>
          <w:bCs/>
          <w:sz w:val="24"/>
          <w:szCs w:val="24"/>
          <w:lang w:val="el-GR"/>
        </w:rPr>
      </w:pPr>
      <w:bookmarkStart w:id="0" w:name="_GoBack"/>
      <w:bookmarkEnd w:id="0"/>
      <w:r w:rsidRPr="005D7006">
        <w:rPr>
          <w:rFonts w:ascii="Bookman Old Style" w:hAnsi="Bookman Old Style"/>
          <w:b/>
          <w:bCs/>
          <w:sz w:val="24"/>
          <w:szCs w:val="24"/>
          <w:lang w:val="el-GR"/>
        </w:rPr>
        <w:t>ΠΡΑΚΤΙΚΕΣ ΟΔΗΓΙΕΣ</w:t>
      </w:r>
    </w:p>
    <w:p w:rsidR="005D7006" w:rsidRDefault="005D7006" w:rsidP="005D7006">
      <w:pPr>
        <w:spacing w:after="80" w:line="360" w:lineRule="auto"/>
        <w:jc w:val="center"/>
        <w:rPr>
          <w:rFonts w:ascii="Bookman Old Style" w:hAnsi="Bookman Old Style"/>
          <w:b/>
          <w:bCs/>
          <w:sz w:val="24"/>
          <w:szCs w:val="24"/>
        </w:rPr>
      </w:pPr>
      <w:r w:rsidRPr="005D7006">
        <w:rPr>
          <w:rFonts w:ascii="Bookman Old Style" w:hAnsi="Bookman Old Style"/>
          <w:b/>
          <w:bCs/>
          <w:sz w:val="24"/>
          <w:szCs w:val="24"/>
          <w:lang w:val="el-GR"/>
        </w:rPr>
        <w:t>ΗΛΕΚΤΡΟΝΙΚΗ ΤΙΜΟΛΟΓΗΣΗ (</w:t>
      </w:r>
      <w:r w:rsidRPr="005D7006">
        <w:rPr>
          <w:rFonts w:ascii="Bookman Old Style" w:hAnsi="Bookman Old Style"/>
          <w:b/>
          <w:bCs/>
          <w:sz w:val="24"/>
          <w:szCs w:val="24"/>
        </w:rPr>
        <w:t>MY DATA)</w:t>
      </w:r>
    </w:p>
    <w:p w:rsidR="005D7006" w:rsidRPr="005D7006" w:rsidRDefault="005D7006" w:rsidP="005D7006">
      <w:pPr>
        <w:spacing w:after="80" w:line="360" w:lineRule="auto"/>
        <w:jc w:val="center"/>
        <w:rPr>
          <w:rFonts w:ascii="Bookman Old Style" w:hAnsi="Bookman Old Style"/>
          <w:b/>
          <w:bCs/>
          <w:sz w:val="24"/>
          <w:szCs w:val="24"/>
        </w:rPr>
      </w:pP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Σε συνέχεια της ενημερωτικής εκδήλωσης, που διοργανώθηκε την Παρασκευή, 04.12.2020, με τη συμμετοχή του Διοικητή της Α.Α.Δ.Ε., κ. </w:t>
      </w:r>
      <w:proofErr w:type="spellStart"/>
      <w:r>
        <w:rPr>
          <w:rFonts w:ascii="Bookman Old Style" w:hAnsi="Bookman Old Style"/>
          <w:sz w:val="24"/>
          <w:szCs w:val="24"/>
          <w:lang w:val="el-GR"/>
        </w:rPr>
        <w:t>Πιτσιλή</w:t>
      </w:r>
      <w:proofErr w:type="spellEnd"/>
      <w:r>
        <w:rPr>
          <w:rFonts w:ascii="Bookman Old Style" w:hAnsi="Bookman Old Style"/>
          <w:sz w:val="24"/>
          <w:szCs w:val="24"/>
          <w:lang w:val="el-GR"/>
        </w:rPr>
        <w:t>, και στελεχών αυτής και εν όψει της επικείμενης εφαρμογής των σχετικών διατάξεων περί ηλεκτρονικών βιβλίων από 01.01.2021, διευκρινίζουμε τα ακόλουθα:</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1.</w:t>
      </w:r>
      <w:r>
        <w:rPr>
          <w:rFonts w:ascii="Bookman Old Style" w:hAnsi="Bookman Old Style"/>
          <w:sz w:val="24"/>
          <w:szCs w:val="24"/>
          <w:lang w:val="el-GR"/>
        </w:rPr>
        <w:tab/>
        <w:t xml:space="preserve">Η υποχρέωση ψηφιακής διαβίβασης των παραστατικών στην πλατφόρμα </w:t>
      </w:r>
      <w:proofErr w:type="spellStart"/>
      <w:r>
        <w:rPr>
          <w:rFonts w:ascii="Bookman Old Style" w:hAnsi="Bookman Old Style"/>
          <w:sz w:val="24"/>
          <w:szCs w:val="24"/>
        </w:rPr>
        <w:t>myDATA</w:t>
      </w:r>
      <w:proofErr w:type="spellEnd"/>
      <w:r>
        <w:rPr>
          <w:rFonts w:ascii="Bookman Old Style" w:hAnsi="Bookman Old Style"/>
          <w:sz w:val="24"/>
          <w:szCs w:val="24"/>
          <w:lang w:val="el-GR"/>
        </w:rPr>
        <w:t xml:space="preserve"> της Α.Α.Δ.Ε., που ισχύει από 01.01.2021, αφορά στην υποβολή, έως την 20</w:t>
      </w:r>
      <w:r>
        <w:rPr>
          <w:rFonts w:ascii="Bookman Old Style" w:hAnsi="Bookman Old Style"/>
          <w:sz w:val="24"/>
          <w:szCs w:val="24"/>
          <w:vertAlign w:val="superscript"/>
          <w:lang w:val="el-GR"/>
        </w:rPr>
        <w:t>η</w:t>
      </w:r>
      <w:r>
        <w:rPr>
          <w:rFonts w:ascii="Bookman Old Style" w:hAnsi="Bookman Old Style"/>
          <w:sz w:val="24"/>
          <w:szCs w:val="24"/>
          <w:lang w:val="el-GR"/>
        </w:rPr>
        <w:t xml:space="preserve"> ημέρα του επομένου μηνός, μιας σύνοψης των παραστατικών, </w:t>
      </w:r>
      <w:r>
        <w:rPr>
          <w:rFonts w:ascii="Bookman Old Style" w:hAnsi="Bookman Old Style"/>
          <w:b/>
          <w:bCs/>
          <w:sz w:val="24"/>
          <w:szCs w:val="24"/>
          <w:u w:val="single"/>
          <w:lang w:val="el-GR"/>
        </w:rPr>
        <w:t>που εκδόθηκαν</w:t>
      </w:r>
      <w:r>
        <w:rPr>
          <w:rFonts w:ascii="Bookman Old Style" w:hAnsi="Bookman Old Style"/>
          <w:sz w:val="24"/>
          <w:szCs w:val="24"/>
          <w:lang w:val="el-GR"/>
        </w:rPr>
        <w:t xml:space="preserve"> κατά τον προηγούμενο μήνα, χωρίς να θίγεται η δυνατότητα χειρόγραφης έκδοσης αυτών και ο παραδοσιακός τρόπος καταχώρισής τους στα οικεία βιβλία.</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Αντιθέτως, δεν διαβιβάζονται τα παραστατικά </w:t>
      </w:r>
      <w:r>
        <w:rPr>
          <w:rFonts w:ascii="Bookman Old Style" w:hAnsi="Bookman Old Style"/>
          <w:b/>
          <w:bCs/>
          <w:sz w:val="24"/>
          <w:szCs w:val="24"/>
          <w:u w:val="single"/>
          <w:lang w:val="el-GR"/>
        </w:rPr>
        <w:t>που λήφθηκαν</w:t>
      </w:r>
      <w:r>
        <w:rPr>
          <w:rFonts w:ascii="Bookman Old Style" w:hAnsi="Bookman Old Style"/>
          <w:sz w:val="24"/>
          <w:szCs w:val="24"/>
          <w:lang w:val="el-GR"/>
        </w:rPr>
        <w:t>, παρά μόνο στις εξής περιπτώσεις:</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α) Συναλλαγών με μη υπόχρεη οντότητα της αλλοδαπής, όπως ενδοκοινοτικές αποκτήσεις, εισαγωγές από τρίτες χώρες και λήψεις υπηρεσιών (ενδοκοινοτικές, τρίτων χωρών)</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β) Λήψης παραστατικών λιανικής από την ημεδαπή ή την αλλοδαπή, όπως κοινόχρηστα, συνδρομές, λιανικές συναλλαγές αλλοδαπής,</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γ) Συναλλαγών που αφορούν σε πώληση ηλεκτρικού ρεύματος και φυσικού αερίου, ύδατος μη ιαματικού (Ε.Υ.Δ.Α.Π., λοιποί </w:t>
      </w:r>
      <w:proofErr w:type="spellStart"/>
      <w:r>
        <w:rPr>
          <w:rFonts w:ascii="Bookman Old Style" w:hAnsi="Bookman Old Style"/>
          <w:sz w:val="24"/>
          <w:szCs w:val="24"/>
          <w:lang w:val="el-GR"/>
        </w:rPr>
        <w:t>πάροχοι</w:t>
      </w:r>
      <w:proofErr w:type="spellEnd"/>
      <w:r>
        <w:rPr>
          <w:rFonts w:ascii="Bookman Old Style" w:hAnsi="Bookman Old Style"/>
          <w:sz w:val="24"/>
          <w:szCs w:val="24"/>
          <w:lang w:val="el-GR"/>
        </w:rPr>
        <w:t xml:space="preserve"> κ.λπ.), καθώς και παροχής τηλεπικοινωνιακών υπηρεσιών και συνδρομητικής τηλεόρασης,</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δ) Συναλλαγών με τα πιστωτικά ιδρύματα, καθώς και την Τράπεζα της Ελλάδος,</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ε) Παραστατικά καταβολής εισφορών σε ασφαλιστικά ταμεία, όπως αυτά που εκδίδονται από τον ΕΦΚΑ και</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στ) Μη τήρησης της υποχρέωσης διαβίβασης των οριζόμενων δεδομένων από τον εκδότη.</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2.</w:t>
      </w:r>
      <w:r>
        <w:rPr>
          <w:rFonts w:ascii="Bookman Old Style" w:hAnsi="Bookman Old Style"/>
          <w:sz w:val="24"/>
          <w:szCs w:val="24"/>
          <w:lang w:val="el-GR"/>
        </w:rPr>
        <w:tab/>
        <w:t xml:space="preserve">Οι τυχόν πλημμέλειες στην εφαρμογή των νέων διατάξεων κατά τη διάρκεια του φορολογικού έτους 2021 δεν θα επισύρουν την επιβολή κυρώσεων. Σημειώνεται ότι η ΑΑΔΕ δεν έχει διευκρινίσει ακόμη αν η μη </w:t>
      </w:r>
      <w:r>
        <w:rPr>
          <w:rFonts w:ascii="Bookman Old Style" w:hAnsi="Bookman Old Style"/>
          <w:sz w:val="24"/>
          <w:szCs w:val="24"/>
          <w:lang w:val="el-GR"/>
        </w:rPr>
        <w:lastRenderedPageBreak/>
        <w:t>επιβολή κυρώσεων περιορίζεται στην εκπρόθεσμη ή ανακριβή υποβολή των στοιχείων ή καταλαμβάνει και τη μη υποβολή.</w:t>
      </w:r>
    </w:p>
    <w:p w:rsidR="00F156F5" w:rsidRPr="00A46089" w:rsidRDefault="00A536E2">
      <w:pPr>
        <w:spacing w:after="80" w:line="360" w:lineRule="auto"/>
        <w:jc w:val="both"/>
        <w:rPr>
          <w:lang w:val="el-GR"/>
        </w:rPr>
      </w:pPr>
      <w:r>
        <w:rPr>
          <w:rFonts w:ascii="Bookman Old Style" w:hAnsi="Bookman Old Style"/>
          <w:sz w:val="24"/>
          <w:szCs w:val="24"/>
          <w:u w:val="single"/>
          <w:lang w:val="el-GR"/>
        </w:rPr>
        <w:t>3.</w:t>
      </w:r>
      <w:r>
        <w:rPr>
          <w:rFonts w:ascii="Bookman Old Style" w:hAnsi="Bookman Old Style"/>
          <w:sz w:val="24"/>
          <w:szCs w:val="24"/>
          <w:lang w:val="el-GR"/>
        </w:rPr>
        <w:t xml:space="preserve"> Η διαβίβαση των παραπάνω δεδομένων μπορεί να γίνεται με τους εξής τρόπους:</w:t>
      </w:r>
    </w:p>
    <w:p w:rsidR="00F156F5" w:rsidRPr="00A46089" w:rsidRDefault="00A536E2">
      <w:pPr>
        <w:spacing w:after="80" w:line="360" w:lineRule="auto"/>
        <w:jc w:val="both"/>
        <w:rPr>
          <w:lang w:val="el-GR"/>
        </w:rPr>
      </w:pPr>
      <w:r>
        <w:rPr>
          <w:rFonts w:ascii="Bookman Old Style" w:hAnsi="Bookman Old Style"/>
          <w:sz w:val="24"/>
          <w:szCs w:val="24"/>
          <w:lang w:val="el-GR"/>
        </w:rPr>
        <w:t xml:space="preserve">α) μέσω των πιστοποιημένων από την ΑΑΔΕ </w:t>
      </w:r>
      <w:proofErr w:type="spellStart"/>
      <w:r>
        <w:rPr>
          <w:rFonts w:ascii="Bookman Old Style" w:hAnsi="Bookman Old Style"/>
          <w:sz w:val="24"/>
          <w:szCs w:val="24"/>
          <w:lang w:val="el-GR"/>
        </w:rPr>
        <w:t>Παρόχων</w:t>
      </w:r>
      <w:proofErr w:type="spellEnd"/>
      <w:r>
        <w:rPr>
          <w:rFonts w:ascii="Bookman Old Style" w:hAnsi="Bookman Old Style"/>
          <w:sz w:val="24"/>
          <w:szCs w:val="24"/>
          <w:lang w:val="el-GR"/>
        </w:rPr>
        <w:t xml:space="preserve"> Υπηρεσιών Ηλεκτρονικής Τιμολόγησης, οι οποίοι προς το παρόν είναι έξι (6). Τονίζεται ότι δεν είναι υποχρεωτική η ανάθεση της έκδοσης τιμολογίων σε πιστοποιημένους </w:t>
      </w:r>
      <w:proofErr w:type="spellStart"/>
      <w:r>
        <w:rPr>
          <w:rFonts w:ascii="Bookman Old Style" w:hAnsi="Bookman Old Style"/>
          <w:sz w:val="24"/>
          <w:szCs w:val="24"/>
          <w:lang w:val="el-GR"/>
        </w:rPr>
        <w:t>Παρόχους</w:t>
      </w:r>
      <w:proofErr w:type="spellEnd"/>
      <w:r>
        <w:rPr>
          <w:rFonts w:ascii="Bookman Old Style" w:hAnsi="Bookman Old Style"/>
          <w:sz w:val="24"/>
          <w:szCs w:val="24"/>
          <w:lang w:val="el-GR"/>
        </w:rPr>
        <w:t xml:space="preserve"> Υπηρεσιών Ηλεκτρονικής Τιμολόγησης, αλλά τα τιμολόγια μπορούν να συνεχίσουν να εκδίδονται από τον ίδιο τον δικηγόρο ή τον λογιστή του.</w:t>
      </w:r>
    </w:p>
    <w:p w:rsidR="00F156F5" w:rsidRPr="00A46089" w:rsidRDefault="00A536E2">
      <w:pPr>
        <w:spacing w:after="80" w:line="360" w:lineRule="auto"/>
        <w:jc w:val="both"/>
        <w:rPr>
          <w:lang w:val="el-GR"/>
        </w:rPr>
      </w:pPr>
      <w:r>
        <w:rPr>
          <w:rFonts w:ascii="Bookman Old Style" w:hAnsi="Bookman Old Style"/>
          <w:sz w:val="24"/>
          <w:szCs w:val="24"/>
          <w:lang w:val="el-GR"/>
        </w:rPr>
        <w:t xml:space="preserve">β) μέσω ειδικών λογιστικών προγραμμάτων (εμπορικό/λογιστικό, ERP) που διατίθενται στην αγορά και διασυνδέονται με την Α.Α.Δ.Ε. μέσω σχετικής </w:t>
      </w:r>
      <w:proofErr w:type="spellStart"/>
      <w:r>
        <w:rPr>
          <w:rFonts w:ascii="Bookman Old Style" w:hAnsi="Bookman Old Style"/>
          <w:sz w:val="24"/>
          <w:szCs w:val="24"/>
          <w:lang w:val="el-GR"/>
        </w:rPr>
        <w:t>διεπαφής</w:t>
      </w:r>
      <w:proofErr w:type="spellEnd"/>
      <w:r>
        <w:rPr>
          <w:rFonts w:ascii="Bookman Old Style" w:hAnsi="Bookman Old Style"/>
          <w:sz w:val="24"/>
          <w:szCs w:val="24"/>
          <w:lang w:val="el-GR"/>
        </w:rPr>
        <w:t>. Σημειώνεται ότι τέτοια προγράμματα θα διαθέτουν τα λογιστικά γραφεία, αλλά μπορούν να αγοράσουν, εφόσον το επιθυμούν και οι δικηγόροι/δικηγορικές εταιρείες.</w:t>
      </w:r>
    </w:p>
    <w:p w:rsidR="00F156F5" w:rsidRPr="00A46089" w:rsidRDefault="00A536E2">
      <w:pPr>
        <w:spacing w:after="80" w:line="360" w:lineRule="auto"/>
        <w:jc w:val="both"/>
        <w:rPr>
          <w:lang w:val="el-GR"/>
        </w:rPr>
      </w:pPr>
      <w:r>
        <w:rPr>
          <w:rFonts w:ascii="Bookman Old Style" w:hAnsi="Bookman Old Style"/>
          <w:sz w:val="24"/>
          <w:szCs w:val="24"/>
          <w:lang w:val="el-GR"/>
        </w:rPr>
        <w:t xml:space="preserve">γ) μέσω ειδικής φόρμας καταχώρησης της εφαρμογής των ηλεκτρονικών βιβλίων που είναι </w:t>
      </w:r>
      <w:proofErr w:type="spellStart"/>
      <w:r>
        <w:rPr>
          <w:rFonts w:ascii="Bookman Old Style" w:hAnsi="Bookman Old Style"/>
          <w:sz w:val="24"/>
          <w:szCs w:val="24"/>
          <w:lang w:val="el-GR"/>
        </w:rPr>
        <w:t>προσβάσιμη</w:t>
      </w:r>
      <w:proofErr w:type="spellEnd"/>
      <w:r>
        <w:rPr>
          <w:rFonts w:ascii="Bookman Old Style" w:hAnsi="Bookman Old Style"/>
          <w:sz w:val="24"/>
          <w:szCs w:val="24"/>
          <w:lang w:val="el-GR"/>
        </w:rPr>
        <w:t xml:space="preserve"> μέσω του διαδικτυακού τόπου της Α.Α.Δ.Ε. Η πλατφόρμα αυτή θα είναι </w:t>
      </w:r>
      <w:proofErr w:type="spellStart"/>
      <w:r>
        <w:rPr>
          <w:rFonts w:ascii="Bookman Old Style" w:hAnsi="Bookman Old Style"/>
          <w:sz w:val="24"/>
          <w:szCs w:val="24"/>
          <w:lang w:val="el-GR"/>
        </w:rPr>
        <w:t>προσβάσιμη</w:t>
      </w:r>
      <w:proofErr w:type="spellEnd"/>
      <w:r>
        <w:rPr>
          <w:rFonts w:ascii="Bookman Old Style" w:hAnsi="Bookman Old Style"/>
          <w:sz w:val="24"/>
          <w:szCs w:val="24"/>
          <w:lang w:val="el-GR"/>
        </w:rPr>
        <w:t xml:space="preserve"> μόνο για δικηγόρους/δικηγορικές εταιρείες που πληρούν ένα από τα ακόλουθα κριτήρια (διαζευκτικά):</w:t>
      </w:r>
    </w:p>
    <w:p w:rsidR="00F156F5" w:rsidRPr="00A46089" w:rsidRDefault="00A536E2">
      <w:pPr>
        <w:spacing w:after="80" w:line="360" w:lineRule="auto"/>
        <w:jc w:val="both"/>
        <w:rPr>
          <w:lang w:val="el-GR"/>
        </w:rPr>
      </w:pPr>
      <w:r>
        <w:rPr>
          <w:rFonts w:ascii="Bookman Old Style" w:hAnsi="Bookman Old Style"/>
          <w:sz w:val="24"/>
          <w:szCs w:val="24"/>
          <w:lang w:val="el-GR"/>
        </w:rPr>
        <w:t>γα) τα ετήσια ακαθάριστα έσοδά τους (χωρίς Φ.Π.Α.) δεν υπερβαίνουν το ποσό των 50.000 ευρώ. Σημειώνεται ότι είναι το ίδιο όριο μέχρι το οποίο μπορεί ένας δικηγόρος να υποβάλει ο ίδιος φορολογική δήλωση, χωρίς την υπογραφή λογιστή.</w:t>
      </w:r>
    </w:p>
    <w:p w:rsidR="00F156F5" w:rsidRPr="00A46089" w:rsidRDefault="00A536E2">
      <w:pPr>
        <w:spacing w:after="80" w:line="360" w:lineRule="auto"/>
        <w:jc w:val="both"/>
        <w:rPr>
          <w:lang w:val="el-GR"/>
        </w:rPr>
      </w:pPr>
      <w:proofErr w:type="spellStart"/>
      <w:r>
        <w:rPr>
          <w:rFonts w:ascii="Bookman Old Style" w:hAnsi="Bookman Old Style"/>
          <w:sz w:val="24"/>
          <w:szCs w:val="24"/>
          <w:lang w:val="el-GR"/>
        </w:rPr>
        <w:t>γβ</w:t>
      </w:r>
      <w:proofErr w:type="spellEnd"/>
      <w:r>
        <w:rPr>
          <w:rFonts w:ascii="Bookman Old Style" w:hAnsi="Bookman Old Style"/>
          <w:sz w:val="24"/>
          <w:szCs w:val="24"/>
          <w:lang w:val="el-GR"/>
        </w:rPr>
        <w:t>) εκδίδουν έως και πενήντα (50) τιμολόγια ετησίως</w:t>
      </w:r>
    </w:p>
    <w:p w:rsidR="00F156F5" w:rsidRPr="00A46089" w:rsidRDefault="00A536E2">
      <w:pPr>
        <w:spacing w:after="80" w:line="360" w:lineRule="auto"/>
        <w:jc w:val="both"/>
        <w:rPr>
          <w:lang w:val="el-GR"/>
        </w:rPr>
      </w:pPr>
      <w:r>
        <w:rPr>
          <w:rFonts w:ascii="Bookman Old Style" w:hAnsi="Bookman Old Style"/>
          <w:sz w:val="24"/>
          <w:szCs w:val="24"/>
          <w:lang w:val="el-GR"/>
        </w:rPr>
        <w:t>δ) μέσω των Φορολογικών Ηλεκτρονικών Μηχανισμών (Φ.Η.Μ.) (δεν βρίσκει εφαρμογή σε δικηγόρους/δικηγορικές εταιρείες)</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4.</w:t>
      </w:r>
      <w:r>
        <w:rPr>
          <w:rFonts w:ascii="Bookman Old Style" w:hAnsi="Bookman Old Style"/>
          <w:sz w:val="24"/>
          <w:szCs w:val="24"/>
          <w:lang w:val="el-GR"/>
        </w:rPr>
        <w:t xml:space="preserve"> Σε περίπτωση μη έκδοσης άνω των 50 παραστατικών ανά έτος ή μη εμφάνισης κατ’ έτος ακαθαρίστων εσόδων άνω των 50.000,00 Ευρώ, παρέχεται η δυνατότητα να εκδίδονται τα τιμολόγια και να λαμβάνονται αντίγραφά τους σε ψηφιακή μορφή μέσα από την πλατφόρμα </w:t>
      </w:r>
      <w:proofErr w:type="spellStart"/>
      <w:r>
        <w:rPr>
          <w:rFonts w:ascii="Bookman Old Style" w:hAnsi="Bookman Old Style"/>
          <w:sz w:val="24"/>
          <w:szCs w:val="24"/>
          <w:lang w:val="el-GR"/>
        </w:rPr>
        <w:t>myDATA</w:t>
      </w:r>
      <w:proofErr w:type="spellEnd"/>
      <w:r>
        <w:rPr>
          <w:rFonts w:ascii="Bookman Old Style" w:hAnsi="Bookman Old Style"/>
          <w:sz w:val="24"/>
          <w:szCs w:val="24"/>
          <w:lang w:val="el-GR"/>
        </w:rPr>
        <w:t xml:space="preserve"> δυνάμει εφαρμογής, η οποία τελεί υπό επεξεργασία και θα ολοκληρωθεί από την Α.Α.Δ.Ε. έως τα τέλη του έτους.</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lastRenderedPageBreak/>
        <w:t>5.</w:t>
      </w:r>
      <w:r>
        <w:rPr>
          <w:rFonts w:ascii="Bookman Old Style" w:hAnsi="Bookman Old Style"/>
          <w:sz w:val="24"/>
          <w:szCs w:val="24"/>
          <w:lang w:val="el-GR"/>
        </w:rPr>
        <w:t xml:space="preserve"> Εν κατακλείδι, από την 1.1.2020 (εάν δεν δοθεί περαιτέρω παράταση) οι δικηγόροι/δικηγορικές εταιρείες θα διακρίνονται στις ακόλουθες κατηγορίες, όσον αφορά την τήρηση των λογιστικών υποχρεώσεών τους:</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α) Όσοι αποκτούν ακαθάριστα έσοδα έως 50.000 ευρώ </w:t>
      </w:r>
      <w:r>
        <w:rPr>
          <w:rFonts w:ascii="Bookman Old Style" w:hAnsi="Bookman Old Style"/>
          <w:b/>
          <w:bCs/>
          <w:sz w:val="24"/>
          <w:szCs w:val="24"/>
          <w:u w:val="single"/>
          <w:lang w:val="el-GR"/>
        </w:rPr>
        <w:t>ή</w:t>
      </w:r>
      <w:r>
        <w:rPr>
          <w:rFonts w:ascii="Bookman Old Style" w:hAnsi="Bookman Old Style"/>
          <w:sz w:val="24"/>
          <w:szCs w:val="24"/>
          <w:lang w:val="el-GR"/>
        </w:rPr>
        <w:t xml:space="preserve"> εκδίδουν λιγότερα των 50 παραστατικών ετησίως. Αυτοί δύνανται να εξακολουθήσουν να εκδίδουν τα παραστατικά τους και να τηρούν τα βιβλία τους χειρόγραφα. Επίσης μπορούν να διαβιβάζουν τα στοιχεία των παραστατικών τους (συνόψεις) μέσω της ειδικής </w:t>
      </w:r>
      <w:proofErr w:type="spellStart"/>
      <w:r>
        <w:rPr>
          <w:rFonts w:ascii="Bookman Old Style" w:hAnsi="Bookman Old Style"/>
          <w:sz w:val="24"/>
          <w:szCs w:val="24"/>
          <w:lang w:val="el-GR"/>
        </w:rPr>
        <w:t>διεπαφής</w:t>
      </w:r>
      <w:proofErr w:type="spellEnd"/>
      <w:r>
        <w:rPr>
          <w:rFonts w:ascii="Bookman Old Style" w:hAnsi="Bookman Old Style"/>
          <w:sz w:val="24"/>
          <w:szCs w:val="24"/>
          <w:lang w:val="el-GR"/>
        </w:rPr>
        <w:t xml:space="preserve"> της ΑΑΔΕ, είτε μόνοι τους είτε μεσώ του λογιστή τους. Φυσικά, δεν εμποδίζονται να ακολουθήσουν και τα παρακάτω αναφερόμενα, κυρίως ενόψει του γεγονότος ότι η διαβίβαση των δεδομένων στην ΑΑΔΕ γίνεται αρκετά περίπλοκη για τον μέσο δικηγόρο.</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lang w:val="el-GR"/>
        </w:rPr>
        <w:t xml:space="preserve">β) Όσοι αποκτούν ακαθάριστα έσοδα άνω των 50.000 ευρώ </w:t>
      </w:r>
      <w:r>
        <w:rPr>
          <w:rFonts w:ascii="Bookman Old Style" w:hAnsi="Bookman Old Style"/>
          <w:b/>
          <w:bCs/>
          <w:sz w:val="24"/>
          <w:szCs w:val="24"/>
          <w:u w:val="single"/>
          <w:lang w:val="el-GR"/>
        </w:rPr>
        <w:t>και</w:t>
      </w:r>
      <w:r>
        <w:rPr>
          <w:rFonts w:ascii="Bookman Old Style" w:hAnsi="Bookman Old Style"/>
          <w:sz w:val="24"/>
          <w:szCs w:val="24"/>
          <w:lang w:val="el-GR"/>
        </w:rPr>
        <w:t xml:space="preserve"> εκδίδουν περισσότερα των 50 παραστατικών ετησίως. Αυτοί υποχρεούνται να αναθέσουν σε λογιστή ή Πάροχο Υπηρεσιών Ηλεκτρονικής Τιμολόγησης την έκδοση των παραστατικών τους και την τήρηση των βιβλίων τους, άρα δεν μπορούν να εκδίδουν παραστατικά και να τηρούν βιβλία χειρόγραφα. Εναλλακτικά δύνανται να αγοράσουν και να χρησιμοποιούν οι ίδιοι το ειδικό λογιστικό πρόγραμμα που διασυνδέεται με την ΑΑΔΕ.</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6.</w:t>
      </w:r>
      <w:r>
        <w:rPr>
          <w:rFonts w:ascii="Bookman Old Style" w:hAnsi="Bookman Old Style"/>
          <w:sz w:val="24"/>
          <w:szCs w:val="24"/>
          <w:lang w:val="el-GR"/>
        </w:rPr>
        <w:tab/>
        <w:t>Εξειδικευμένοι Δικηγόροι θα εξουσιοδοτηθούν από την Ολομέλεια Προέδρων Δικηγορικών Συλλόγων Ελλάδος, ώστε, σε συνεργασία με στελέχη της Α.Α.Δ.Ε., να θέσουν υπ’ όψιν τους τα ιδιαίτερα χαρακτηριστικά, που απορρέουν από την άσκηση της δικηγορίας και επηρεάζουν τον τρόπο έκδοσης και απεικόνισης των οικείων φορολογικών στοιχείων, προκειμένου να επιτευχθεί η καλύτερη δυνατή και συμβατή με τις δικηγορικές ανάγκες παραμετροποίηση της ως άνω εφαρμογής.</w:t>
      </w:r>
    </w:p>
    <w:p w:rsidR="00F156F5" w:rsidRDefault="00A536E2">
      <w:pPr>
        <w:spacing w:after="80" w:line="360" w:lineRule="auto"/>
        <w:jc w:val="both"/>
        <w:rPr>
          <w:rFonts w:ascii="Bookman Old Style" w:hAnsi="Bookman Old Style"/>
          <w:sz w:val="24"/>
          <w:szCs w:val="24"/>
          <w:lang w:val="el-GR"/>
        </w:rPr>
      </w:pPr>
      <w:r>
        <w:rPr>
          <w:rFonts w:ascii="Bookman Old Style" w:hAnsi="Bookman Old Style"/>
          <w:sz w:val="24"/>
          <w:szCs w:val="24"/>
          <w:u w:val="single"/>
          <w:lang w:val="el-GR"/>
        </w:rPr>
        <w:t>7.</w:t>
      </w:r>
      <w:r>
        <w:rPr>
          <w:rFonts w:ascii="Bookman Old Style" w:hAnsi="Bookman Old Style"/>
          <w:sz w:val="24"/>
          <w:szCs w:val="24"/>
          <w:lang w:val="el-GR"/>
        </w:rPr>
        <w:tab/>
        <w:t>Η Ολομέλεια Προέδρων Δικηγορικών Συλλόγων Ελλάδος θα οργανώσει νέα ενημερωτική εκδήλωση, στις 1</w:t>
      </w:r>
      <w:r w:rsidR="00A46089">
        <w:rPr>
          <w:rFonts w:ascii="Bookman Old Style" w:hAnsi="Bookman Old Style"/>
          <w:sz w:val="24"/>
          <w:szCs w:val="24"/>
          <w:lang w:val="el-GR"/>
        </w:rPr>
        <w:t>4</w:t>
      </w:r>
      <w:r>
        <w:rPr>
          <w:rFonts w:ascii="Bookman Old Style" w:hAnsi="Bookman Old Style"/>
          <w:sz w:val="24"/>
          <w:szCs w:val="24"/>
          <w:lang w:val="el-GR"/>
        </w:rPr>
        <w:t>.12.2020</w:t>
      </w:r>
      <w:r w:rsidR="00DB6252">
        <w:rPr>
          <w:rFonts w:ascii="Bookman Old Style" w:hAnsi="Bookman Old Style"/>
          <w:sz w:val="24"/>
          <w:szCs w:val="24"/>
          <w:lang w:val="el-GR"/>
        </w:rPr>
        <w:t>(</w:t>
      </w:r>
      <w:r w:rsidR="00DB6252" w:rsidRPr="00DB6252">
        <w:rPr>
          <w:rFonts w:ascii="Bookman Old Style" w:hAnsi="Bookman Old Style"/>
          <w:b/>
          <w:bCs/>
          <w:i/>
          <w:iCs/>
          <w:sz w:val="24"/>
          <w:szCs w:val="24"/>
          <w:lang w:val="el-GR"/>
        </w:rPr>
        <w:t>επισυνάπτεται η πρόσκληση</w:t>
      </w:r>
      <w:r w:rsidR="00DB6252">
        <w:rPr>
          <w:rFonts w:ascii="Bookman Old Style" w:hAnsi="Bookman Old Style"/>
          <w:sz w:val="24"/>
          <w:szCs w:val="24"/>
          <w:lang w:val="el-GR"/>
        </w:rPr>
        <w:t>)</w:t>
      </w:r>
      <w:r>
        <w:rPr>
          <w:rFonts w:ascii="Bookman Old Style" w:hAnsi="Bookman Old Style"/>
          <w:sz w:val="24"/>
          <w:szCs w:val="24"/>
          <w:lang w:val="el-GR"/>
        </w:rPr>
        <w:t xml:space="preserve">, με τη συμμετοχή των Φορολογικών Συμβούλων της, Ευσταθίου Μπακάλη και Ανδρέα </w:t>
      </w:r>
      <w:proofErr w:type="spellStart"/>
      <w:r>
        <w:rPr>
          <w:rFonts w:ascii="Bookman Old Style" w:hAnsi="Bookman Old Style"/>
          <w:sz w:val="24"/>
          <w:szCs w:val="24"/>
          <w:lang w:val="el-GR"/>
        </w:rPr>
        <w:t>Τσουρουφλή</w:t>
      </w:r>
      <w:proofErr w:type="spellEnd"/>
      <w:r>
        <w:rPr>
          <w:rFonts w:ascii="Bookman Old Style" w:hAnsi="Bookman Old Style"/>
          <w:sz w:val="24"/>
          <w:szCs w:val="24"/>
          <w:lang w:val="el-GR"/>
        </w:rPr>
        <w:t>, και καταξιωμένων Λογιστών, προς τον σκοπό πληρέστερης και αρτιότερης ενημέρωσης των Μελών της.</w:t>
      </w:r>
    </w:p>
    <w:p w:rsidR="005D7006" w:rsidRPr="005D7006" w:rsidRDefault="005D7006" w:rsidP="005D7006">
      <w:pPr>
        <w:suppressAutoHyphens w:val="0"/>
        <w:spacing w:after="0"/>
        <w:ind w:right="-58"/>
        <w:jc w:val="both"/>
        <w:rPr>
          <w:rFonts w:ascii="Times New Roman" w:hAnsi="Times New Roman"/>
          <w:i/>
          <w:iCs/>
          <w:sz w:val="28"/>
          <w:szCs w:val="28"/>
          <w:lang w:val="el-GR"/>
        </w:rPr>
      </w:pPr>
      <w:r w:rsidRPr="005D7006">
        <w:rPr>
          <w:rFonts w:ascii="Times New Roman" w:hAnsi="Times New Roman"/>
          <w:b/>
          <w:bCs/>
          <w:i/>
          <w:iCs/>
          <w:sz w:val="28"/>
          <w:szCs w:val="28"/>
          <w:lang w:val="el-GR"/>
        </w:rPr>
        <w:t>Ευστάθιος Μπακάλης</w:t>
      </w:r>
      <w:r w:rsidRPr="005D7006">
        <w:rPr>
          <w:rFonts w:ascii="Times New Roman" w:hAnsi="Times New Roman"/>
          <w:b/>
          <w:bCs/>
          <w:sz w:val="28"/>
          <w:szCs w:val="28"/>
          <w:lang w:val="el-GR"/>
        </w:rPr>
        <w:t xml:space="preserve">, </w:t>
      </w:r>
      <w:r w:rsidRPr="005D7006">
        <w:rPr>
          <w:rFonts w:ascii="Times New Roman" w:hAnsi="Times New Roman"/>
          <w:i/>
          <w:iCs/>
          <w:sz w:val="28"/>
          <w:szCs w:val="28"/>
          <w:lang w:val="el-GR"/>
        </w:rPr>
        <w:t>Φορολογικός Σύμβουλος Ολομέλειας Δικηγορικών Συ</w:t>
      </w:r>
      <w:r w:rsidRPr="005D7006">
        <w:rPr>
          <w:rFonts w:ascii="Times New Roman" w:hAnsi="Times New Roman"/>
          <w:i/>
          <w:iCs/>
          <w:sz w:val="28"/>
          <w:szCs w:val="28"/>
          <w:lang w:val="el-GR"/>
        </w:rPr>
        <w:t>λ</w:t>
      </w:r>
      <w:r w:rsidRPr="005D7006">
        <w:rPr>
          <w:rFonts w:ascii="Times New Roman" w:hAnsi="Times New Roman"/>
          <w:i/>
          <w:iCs/>
          <w:sz w:val="28"/>
          <w:szCs w:val="28"/>
          <w:lang w:val="el-GR"/>
        </w:rPr>
        <w:t>λόγων Ελλάδος, Δικηγόρος</w:t>
      </w:r>
    </w:p>
    <w:p w:rsidR="005D7006" w:rsidRPr="005D7006" w:rsidRDefault="005D7006" w:rsidP="00DB6252">
      <w:pPr>
        <w:suppressAutoHyphens w:val="0"/>
        <w:spacing w:after="0"/>
        <w:ind w:right="-58"/>
        <w:jc w:val="both"/>
        <w:rPr>
          <w:rFonts w:ascii="Times New Roman" w:hAnsi="Times New Roman"/>
          <w:b/>
          <w:bCs/>
          <w:sz w:val="28"/>
          <w:szCs w:val="28"/>
          <w:lang w:val="el-GR"/>
        </w:rPr>
      </w:pPr>
      <w:r w:rsidRPr="005D7006">
        <w:rPr>
          <w:rFonts w:ascii="Times New Roman" w:hAnsi="Times New Roman"/>
          <w:b/>
          <w:bCs/>
          <w:i/>
          <w:iCs/>
          <w:sz w:val="28"/>
          <w:szCs w:val="28"/>
          <w:lang w:val="el-GR"/>
        </w:rPr>
        <w:lastRenderedPageBreak/>
        <w:t xml:space="preserve">Ανδρέας Τσουρουφλής, </w:t>
      </w:r>
      <w:r w:rsidRPr="005D7006">
        <w:rPr>
          <w:rFonts w:ascii="Times New Roman" w:hAnsi="Times New Roman"/>
          <w:i/>
          <w:iCs/>
          <w:sz w:val="28"/>
          <w:szCs w:val="28"/>
          <w:lang w:val="el-GR"/>
        </w:rPr>
        <w:t>Επίκουρος Καθηγητής Φορολογικού Δικαίου Νομική Σχολή Αθηνών, Δικηγόρος</w:t>
      </w:r>
    </w:p>
    <w:p w:rsidR="005D7006" w:rsidRDefault="005D7006">
      <w:pPr>
        <w:spacing w:after="80" w:line="360" w:lineRule="auto"/>
        <w:jc w:val="both"/>
        <w:rPr>
          <w:rFonts w:ascii="Bookman Old Style" w:hAnsi="Bookman Old Style"/>
          <w:sz w:val="24"/>
          <w:szCs w:val="24"/>
          <w:lang w:val="el-GR"/>
        </w:rPr>
      </w:pPr>
    </w:p>
    <w:sectPr w:rsidR="005D7006" w:rsidSect="000C3462">
      <w:pgSz w:w="11906" w:h="16838"/>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roid Sans Devanagari">
    <w:altName w:val="Segoe UI"/>
    <w:panose1 w:val="00000000000000000000"/>
    <w:charset w:val="00"/>
    <w:family w:val="roman"/>
    <w:notTrueType/>
    <w:pitch w:val="default"/>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D196F"/>
    <w:multiLevelType w:val="hybridMultilevel"/>
    <w:tmpl w:val="68422204"/>
    <w:lvl w:ilvl="0" w:tplc="E710DD8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compat/>
  <w:rsids>
    <w:rsidRoot w:val="00F156F5"/>
    <w:rsid w:val="000C3462"/>
    <w:rsid w:val="005D7006"/>
    <w:rsid w:val="0083289E"/>
    <w:rsid w:val="00A46089"/>
    <w:rsid w:val="00A536E2"/>
    <w:rsid w:val="00DB6252"/>
    <w:rsid w:val="00F156F5"/>
    <w:rsid w:val="00FC153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46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0C3462"/>
    <w:pPr>
      <w:keepNext/>
      <w:spacing w:before="240" w:after="120"/>
    </w:pPr>
    <w:rPr>
      <w:rFonts w:ascii="Arial" w:eastAsia="Microsoft YaHei" w:hAnsi="Arial" w:cs="Droid Sans Devanagari"/>
      <w:sz w:val="28"/>
      <w:szCs w:val="28"/>
    </w:rPr>
  </w:style>
  <w:style w:type="paragraph" w:styleId="a3">
    <w:name w:val="Body Text"/>
    <w:basedOn w:val="a"/>
    <w:rsid w:val="000C3462"/>
    <w:pPr>
      <w:spacing w:after="140" w:line="276" w:lineRule="auto"/>
    </w:pPr>
  </w:style>
  <w:style w:type="paragraph" w:styleId="a4">
    <w:name w:val="List"/>
    <w:basedOn w:val="a3"/>
    <w:rsid w:val="000C3462"/>
    <w:rPr>
      <w:rFonts w:ascii="Times New Roman" w:hAnsi="Times New Roman" w:cs="Droid Sans Devanagari"/>
    </w:rPr>
  </w:style>
  <w:style w:type="paragraph" w:styleId="a5">
    <w:name w:val="caption"/>
    <w:basedOn w:val="a"/>
    <w:qFormat/>
    <w:rsid w:val="000C3462"/>
    <w:pPr>
      <w:suppressLineNumbers/>
      <w:spacing w:before="120" w:after="120"/>
    </w:pPr>
    <w:rPr>
      <w:rFonts w:ascii="Times New Roman" w:hAnsi="Times New Roman" w:cs="Droid Sans Devanagari"/>
      <w:i/>
      <w:iCs/>
      <w:sz w:val="24"/>
      <w:szCs w:val="24"/>
    </w:rPr>
  </w:style>
  <w:style w:type="paragraph" w:customStyle="1" w:styleId="Index">
    <w:name w:val="Index"/>
    <w:basedOn w:val="a"/>
    <w:qFormat/>
    <w:rsid w:val="000C3462"/>
    <w:pPr>
      <w:suppressLineNumbers/>
    </w:pPr>
    <w:rPr>
      <w:rFonts w:ascii="Times New Roman" w:hAnsi="Times New Roman" w:cs="Droid Sans Devanagari"/>
    </w:rPr>
  </w:style>
  <w:style w:type="paragraph" w:styleId="a6">
    <w:name w:val="List Paragraph"/>
    <w:basedOn w:val="a"/>
    <w:uiPriority w:val="34"/>
    <w:qFormat/>
    <w:rsid w:val="00800622"/>
    <w:pPr>
      <w:ind w:left="720"/>
      <w:contextualSpacing/>
    </w:pPr>
  </w:style>
  <w:style w:type="paragraph" w:styleId="a7">
    <w:name w:val="Balloon Text"/>
    <w:basedOn w:val="a"/>
    <w:link w:val="Char"/>
    <w:uiPriority w:val="99"/>
    <w:semiHidden/>
    <w:unhideWhenUsed/>
    <w:rsid w:val="00DB6252"/>
    <w:pPr>
      <w:spacing w:after="0" w:line="240" w:lineRule="auto"/>
    </w:pPr>
    <w:rPr>
      <w:rFonts w:ascii="Segoe UI" w:hAnsi="Segoe UI" w:cs="Segoe UI"/>
      <w:sz w:val="18"/>
      <w:szCs w:val="18"/>
    </w:rPr>
  </w:style>
  <w:style w:type="character" w:customStyle="1" w:styleId="Char">
    <w:name w:val="Κείμενο πλαισίου Char"/>
    <w:basedOn w:val="a0"/>
    <w:link w:val="a7"/>
    <w:uiPriority w:val="99"/>
    <w:semiHidden/>
    <w:rsid w:val="00DB625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905</Words>
  <Characters>4893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Deloitte Touche Tohmatsu Services, Inc.</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Bakalis, Efstathios (GR - Athens)</dc:creator>
  <cp:lastModifiedBy>Χρήστης των Windows</cp:lastModifiedBy>
  <cp:revision>2</cp:revision>
  <cp:lastPrinted>2020-12-07T09:16:00Z</cp:lastPrinted>
  <dcterms:created xsi:type="dcterms:W3CDTF">2020-12-08T11:00:00Z</dcterms:created>
  <dcterms:modified xsi:type="dcterms:W3CDTF">2020-12-08T11:00:00Z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Deloitte Touche Tohmatsu Services,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